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963" w:rsidRPr="00AF4D9F" w:rsidRDefault="00A30963" w:rsidP="00A30963">
      <w:pPr>
        <w:adjustRightInd w:val="0"/>
        <w:spacing w:line="240" w:lineRule="auto"/>
        <w:jc w:val="center"/>
        <w:rPr>
          <w:rFonts w:eastAsia="Times New Roman"/>
          <w:szCs w:val="24"/>
          <w:lang w:eastAsia="es-CO"/>
        </w:rPr>
      </w:pPr>
      <w:r w:rsidRPr="00AF4D9F">
        <w:rPr>
          <w:rFonts w:eastAsia="Times New Roman"/>
          <w:b/>
          <w:bCs/>
          <w:szCs w:val="24"/>
          <w:lang w:eastAsia="es-CO"/>
        </w:rPr>
        <w:t>DECRETO N° 3028</w:t>
      </w:r>
    </w:p>
    <w:p w:rsidR="00AF4D9F" w:rsidRDefault="00AF4D9F" w:rsidP="00A30963">
      <w:pPr>
        <w:adjustRightInd w:val="0"/>
        <w:spacing w:line="240" w:lineRule="auto"/>
        <w:jc w:val="center"/>
        <w:rPr>
          <w:rFonts w:eastAsia="Times New Roman"/>
          <w:b/>
          <w:szCs w:val="24"/>
          <w:lang w:eastAsia="es-CO"/>
        </w:rPr>
      </w:pPr>
    </w:p>
    <w:p w:rsidR="00A30963" w:rsidRDefault="00A30963" w:rsidP="00A30963">
      <w:pPr>
        <w:adjustRightInd w:val="0"/>
        <w:spacing w:line="240" w:lineRule="auto"/>
        <w:jc w:val="center"/>
        <w:rPr>
          <w:rFonts w:eastAsia="Times New Roman"/>
          <w:b/>
          <w:szCs w:val="24"/>
          <w:lang w:eastAsia="es-CO"/>
        </w:rPr>
      </w:pPr>
      <w:r w:rsidRPr="00AF4D9F">
        <w:rPr>
          <w:rFonts w:eastAsia="Times New Roman"/>
          <w:b/>
          <w:szCs w:val="24"/>
          <w:lang w:eastAsia="es-CO"/>
        </w:rPr>
        <w:t>27-12-2013</w:t>
      </w:r>
    </w:p>
    <w:p w:rsidR="00AF4D9F" w:rsidRPr="00AF4D9F" w:rsidRDefault="00AF4D9F" w:rsidP="00A30963">
      <w:pPr>
        <w:adjustRightInd w:val="0"/>
        <w:spacing w:line="240" w:lineRule="auto"/>
        <w:jc w:val="center"/>
        <w:rPr>
          <w:rFonts w:eastAsia="Times New Roman"/>
          <w:szCs w:val="24"/>
          <w:lang w:eastAsia="es-CO"/>
        </w:rPr>
      </w:pPr>
    </w:p>
    <w:p w:rsidR="00A30963" w:rsidRPr="00AF4D9F" w:rsidRDefault="00A30963" w:rsidP="00A30963">
      <w:pPr>
        <w:adjustRightInd w:val="0"/>
        <w:spacing w:line="240" w:lineRule="auto"/>
        <w:jc w:val="center"/>
        <w:rPr>
          <w:rFonts w:eastAsia="Times New Roman"/>
          <w:szCs w:val="24"/>
          <w:lang w:eastAsia="es-CO"/>
        </w:rPr>
      </w:pPr>
      <w:r w:rsidRPr="00AF4D9F">
        <w:rPr>
          <w:rFonts w:eastAsia="Times New Roman"/>
          <w:b/>
          <w:iCs/>
          <w:szCs w:val="24"/>
          <w:lang w:eastAsia="es-CO"/>
        </w:rPr>
        <w:t>MINISTERIO DE HACIENDA Y CRÉDITO PÚBLICO</w:t>
      </w:r>
    </w:p>
    <w:p w:rsidR="00A30963" w:rsidRPr="00AF4D9F" w:rsidRDefault="00A30963" w:rsidP="00A30963">
      <w:pPr>
        <w:adjustRightInd w:val="0"/>
        <w:spacing w:line="240" w:lineRule="auto"/>
        <w:jc w:val="center"/>
        <w:rPr>
          <w:rFonts w:eastAsia="Times New Roman"/>
          <w:szCs w:val="24"/>
          <w:lang w:eastAsia="es-CO"/>
        </w:rPr>
      </w:pPr>
      <w:r w:rsidRPr="00AF4D9F">
        <w:rPr>
          <w:rFonts w:eastAsia="Times New Roman"/>
          <w:b/>
          <w:i/>
          <w:iCs/>
          <w:szCs w:val="24"/>
          <w:lang w:eastAsia="es-CO"/>
        </w:rPr>
        <w:t> </w:t>
      </w:r>
    </w:p>
    <w:p w:rsidR="00A30963" w:rsidRPr="00AF4D9F" w:rsidRDefault="00A30963" w:rsidP="00A30963">
      <w:pPr>
        <w:adjustRightInd w:val="0"/>
        <w:spacing w:line="240" w:lineRule="auto"/>
        <w:jc w:val="center"/>
        <w:rPr>
          <w:rFonts w:eastAsia="Times New Roman"/>
          <w:szCs w:val="24"/>
          <w:lang w:eastAsia="es-CO"/>
        </w:rPr>
      </w:pPr>
      <w:r w:rsidRPr="00AF4D9F">
        <w:rPr>
          <w:rFonts w:eastAsia="Times New Roman"/>
          <w:b/>
          <w:i/>
          <w:iCs/>
          <w:szCs w:val="24"/>
          <w:lang w:eastAsia="es-CO"/>
        </w:rPr>
        <w:t> </w:t>
      </w:r>
    </w:p>
    <w:p w:rsidR="00A30963" w:rsidRPr="00AF4D9F" w:rsidRDefault="00A30963" w:rsidP="00A30963">
      <w:pPr>
        <w:adjustRightInd w:val="0"/>
        <w:spacing w:line="240" w:lineRule="auto"/>
        <w:jc w:val="center"/>
        <w:rPr>
          <w:rFonts w:eastAsia="Times New Roman"/>
          <w:szCs w:val="24"/>
          <w:lang w:eastAsia="es-CO"/>
        </w:rPr>
      </w:pPr>
      <w:proofErr w:type="gramStart"/>
      <w:r w:rsidRPr="00AF4D9F">
        <w:rPr>
          <w:rFonts w:eastAsia="Times New Roman"/>
          <w:i/>
          <w:iCs/>
          <w:szCs w:val="24"/>
          <w:lang w:eastAsia="es-CO"/>
        </w:rPr>
        <w:t>por</w:t>
      </w:r>
      <w:proofErr w:type="gramEnd"/>
      <w:r w:rsidRPr="00AF4D9F">
        <w:rPr>
          <w:rFonts w:eastAsia="Times New Roman"/>
          <w:i/>
          <w:iCs/>
          <w:szCs w:val="24"/>
          <w:lang w:eastAsia="es-CO"/>
        </w:rPr>
        <w:t xml:space="preserve"> el cual se reglamenta parcialmente el Estatuto Tributario.</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xml:space="preserve">El Presidente de la República de Colombia, en uso de sus facultades constitucionales y legales, en especial las conferidas en los numerales 11 y 20 del artículo 189 de la Constitución Política y de conformidad con lo dispuesto en los artículos </w:t>
      </w:r>
      <w:hyperlink r:id="rId5" w:tooltip="Estatuto Tributario CETA" w:history="1">
        <w:r w:rsidRPr="00AF4D9F">
          <w:rPr>
            <w:rFonts w:eastAsia="Times New Roman"/>
            <w:szCs w:val="24"/>
            <w:lang w:eastAsia="es-CO"/>
          </w:rPr>
          <w:t>10</w:t>
        </w:r>
      </w:hyperlink>
      <w:r w:rsidRPr="00AF4D9F">
        <w:rPr>
          <w:rFonts w:eastAsia="Times New Roman"/>
          <w:szCs w:val="24"/>
          <w:lang w:eastAsia="es-CO"/>
        </w:rPr>
        <w:t xml:space="preserve"> y </w:t>
      </w:r>
      <w:hyperlink r:id="rId6" w:tooltip="Estatuto Tributario CETA" w:history="1">
        <w:r w:rsidRPr="00AF4D9F">
          <w:rPr>
            <w:rFonts w:eastAsia="Times New Roman"/>
            <w:szCs w:val="24"/>
            <w:lang w:eastAsia="es-CO"/>
          </w:rPr>
          <w:t>12-1</w:t>
        </w:r>
      </w:hyperlink>
      <w:r w:rsidRPr="00AF4D9F">
        <w:rPr>
          <w:rFonts w:eastAsia="Times New Roman"/>
          <w:szCs w:val="24"/>
          <w:lang w:eastAsia="es-CO"/>
        </w:rPr>
        <w:t xml:space="preserve"> del Estatuto Tributario,</w:t>
      </w:r>
    </w:p>
    <w:p w:rsidR="00A30963" w:rsidRPr="00AF4D9F" w:rsidRDefault="00A30963" w:rsidP="00A30963">
      <w:pPr>
        <w:adjustRightInd w:val="0"/>
        <w:spacing w:line="240" w:lineRule="auto"/>
        <w:jc w:val="center"/>
        <w:rPr>
          <w:rFonts w:eastAsia="Times New Roman"/>
          <w:szCs w:val="24"/>
          <w:lang w:eastAsia="es-CO"/>
        </w:rPr>
      </w:pPr>
      <w:r w:rsidRPr="00AF4D9F">
        <w:rPr>
          <w:rFonts w:eastAsia="Times New Roman"/>
          <w:szCs w:val="24"/>
          <w:lang w:eastAsia="es-CO"/>
        </w:rPr>
        <w:t> </w:t>
      </w:r>
    </w:p>
    <w:p w:rsidR="00A30963" w:rsidRPr="00AF4D9F" w:rsidRDefault="00A30963" w:rsidP="00A30963">
      <w:pPr>
        <w:adjustRightInd w:val="0"/>
        <w:spacing w:line="240" w:lineRule="auto"/>
        <w:jc w:val="center"/>
        <w:rPr>
          <w:rFonts w:eastAsia="Times New Roman"/>
          <w:szCs w:val="24"/>
          <w:lang w:eastAsia="es-CO"/>
        </w:rPr>
      </w:pPr>
      <w:r w:rsidRPr="00AF4D9F">
        <w:rPr>
          <w:rFonts w:eastAsia="Times New Roman"/>
          <w:szCs w:val="24"/>
          <w:lang w:eastAsia="es-CO"/>
        </w:rPr>
        <w:t> </w:t>
      </w:r>
    </w:p>
    <w:p w:rsidR="00A30963" w:rsidRPr="00AF4D9F" w:rsidRDefault="00A30963" w:rsidP="00A30963">
      <w:pPr>
        <w:adjustRightInd w:val="0"/>
        <w:spacing w:line="240" w:lineRule="auto"/>
        <w:jc w:val="center"/>
        <w:rPr>
          <w:rFonts w:eastAsia="Times New Roman"/>
          <w:szCs w:val="24"/>
          <w:lang w:eastAsia="es-CO"/>
        </w:rPr>
      </w:pPr>
      <w:r w:rsidRPr="00AF4D9F">
        <w:rPr>
          <w:rFonts w:eastAsia="Times New Roman"/>
          <w:b/>
          <w:szCs w:val="24"/>
          <w:lang w:eastAsia="es-CO"/>
        </w:rPr>
        <w:t>CONSIDERANDO:</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b/>
          <w:szCs w:val="24"/>
          <w:lang w:eastAsia="es-CO"/>
        </w:rPr>
        <w:t> </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xml:space="preserve">Que mediante el artículo 2° de la Ley 1607 de 2012 se modificó el </w:t>
      </w:r>
      <w:hyperlink r:id="rId7" w:tooltip="Estatuto Tributario CETA" w:history="1">
        <w:r w:rsidRPr="00AF4D9F">
          <w:rPr>
            <w:rFonts w:eastAsia="Times New Roman"/>
            <w:szCs w:val="24"/>
            <w:lang w:eastAsia="es-CO"/>
          </w:rPr>
          <w:t>artículo 10</w:t>
        </w:r>
      </w:hyperlink>
      <w:r w:rsidRPr="00AF4D9F">
        <w:rPr>
          <w:rFonts w:eastAsia="Times New Roman"/>
          <w:szCs w:val="24"/>
          <w:lang w:eastAsia="es-CO"/>
        </w:rPr>
        <w:t xml:space="preserve"> del Estatuto Tributario,</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xml:space="preserve">Que para efectos de determinar la residencia en el país de las personas naturales nacionales, el numeral 3 del </w:t>
      </w:r>
      <w:hyperlink r:id="rId8" w:tooltip="Estatuto Tributario CETA" w:history="1">
        <w:r w:rsidRPr="00AF4D9F">
          <w:rPr>
            <w:rFonts w:eastAsia="Times New Roman"/>
            <w:szCs w:val="24"/>
            <w:lang w:eastAsia="es-CO"/>
          </w:rPr>
          <w:t>artículo 10</w:t>
        </w:r>
      </w:hyperlink>
      <w:r w:rsidRPr="00AF4D9F">
        <w:rPr>
          <w:rFonts w:eastAsia="Times New Roman"/>
          <w:szCs w:val="24"/>
          <w:lang w:eastAsia="es-CO"/>
        </w:rPr>
        <w:t xml:space="preserve"> del Estatuto Tributario estableció, entre otros, que debe tenerse en cuenta la fuente de los ingresos, el lugar de administración de los bienes o la ubicación de los activos,</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xml:space="preserve">Que en razón de lo anterior, es necesario fijar el alcance de los presupuestos contenidos en el numeral 3 del </w:t>
      </w:r>
      <w:hyperlink r:id="rId9" w:tooltip="Estatuto Tributario CETA" w:history="1">
        <w:r w:rsidRPr="00AF4D9F">
          <w:rPr>
            <w:rFonts w:eastAsia="Times New Roman"/>
            <w:szCs w:val="24"/>
            <w:lang w:eastAsia="es-CO"/>
          </w:rPr>
          <w:t>artículo 10</w:t>
        </w:r>
      </w:hyperlink>
      <w:r w:rsidRPr="00AF4D9F">
        <w:rPr>
          <w:rFonts w:eastAsia="Times New Roman"/>
          <w:szCs w:val="24"/>
          <w:lang w:eastAsia="es-CO"/>
        </w:rPr>
        <w:t xml:space="preserve"> del Estatuto Tributario para efectos de determinar la residencia en el país de las personas naturales nacionales,</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xml:space="preserve">Que mediante el artículo 198 de la Ley 1607 de 2012 se derogó el inciso segundo del </w:t>
      </w:r>
      <w:hyperlink r:id="rId10" w:tooltip="Estatuto Tributario CETA" w:history="1">
        <w:r w:rsidRPr="00AF4D9F">
          <w:rPr>
            <w:rFonts w:eastAsia="Times New Roman"/>
            <w:szCs w:val="24"/>
            <w:lang w:eastAsia="es-CO"/>
          </w:rPr>
          <w:t>artículo 9°</w:t>
        </w:r>
      </w:hyperlink>
      <w:r w:rsidRPr="00AF4D9F">
        <w:rPr>
          <w:rFonts w:eastAsia="Times New Roman"/>
          <w:szCs w:val="24"/>
          <w:lang w:eastAsia="es-CO"/>
        </w:rPr>
        <w:t xml:space="preserve"> del Estatuto Tributario,</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xml:space="preserve">Que el </w:t>
      </w:r>
      <w:hyperlink r:id="rId11" w:tooltip="Estatuto Tributario CETA" w:history="1">
        <w:r w:rsidRPr="00AF4D9F">
          <w:rPr>
            <w:rFonts w:eastAsia="Times New Roman"/>
            <w:szCs w:val="24"/>
            <w:lang w:eastAsia="es-CO"/>
          </w:rPr>
          <w:t>artículo 236</w:t>
        </w:r>
      </w:hyperlink>
      <w:r w:rsidRPr="00AF4D9F">
        <w:rPr>
          <w:rFonts w:eastAsia="Times New Roman"/>
          <w:szCs w:val="24"/>
          <w:lang w:eastAsia="es-CO"/>
        </w:rPr>
        <w:t xml:space="preserve"> del Estatuto Tributario establece que cuando la suma de la renta gravable, las rentas exentas y la ganancia ocasional neta resultare inferior a la diferencia entre el patrimonio líquido del último período gravable y el patrimonio líquido del período inmediatamente anterior, dicha diferencia se considera renta gravable, a menos que el contribuyente demuestre que el aumento patrimonial obedece a causas justificativas,</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xml:space="preserve">Que el </w:t>
      </w:r>
      <w:hyperlink r:id="rId12" w:tooltip="Estatuto Tributario CETA" w:history="1">
        <w:r w:rsidRPr="00AF4D9F">
          <w:rPr>
            <w:rFonts w:eastAsia="Times New Roman"/>
            <w:szCs w:val="24"/>
            <w:lang w:eastAsia="es-CO"/>
          </w:rPr>
          <w:t>artículo 12-1</w:t>
        </w:r>
      </w:hyperlink>
      <w:r w:rsidRPr="00AF4D9F">
        <w:rPr>
          <w:rFonts w:eastAsia="Times New Roman"/>
          <w:szCs w:val="24"/>
          <w:lang w:eastAsia="es-CO"/>
        </w:rPr>
        <w:t xml:space="preserve"> del Estatuto Tributario, adicionado por el artículo 84 de la Ley 1607 de 2012, estableció, entre otros supuestos, que se consideran nacionales para efectos tributarios las sociedades y entidades que durante el respectivo año o período gravable tengan su sede efectiva de administración en el territorio colombiano,</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Que en razón de lo anterior, es necesario reglamentar la aplicación armónica de las anteriores normas,</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Que cumplida la formalidad prevista en el numeral 8 del artículo 8° del Código de Procedimiento Administrativo y de lo Contencioso Administrativo en relación con el texto del presente decreto,</w:t>
      </w:r>
    </w:p>
    <w:p w:rsidR="00A30963" w:rsidRPr="00AF4D9F" w:rsidRDefault="00A30963" w:rsidP="00A30963">
      <w:pPr>
        <w:adjustRightInd w:val="0"/>
        <w:spacing w:line="240" w:lineRule="auto"/>
        <w:jc w:val="center"/>
        <w:rPr>
          <w:rFonts w:eastAsia="Times New Roman"/>
          <w:szCs w:val="24"/>
          <w:lang w:eastAsia="es-CO"/>
        </w:rPr>
      </w:pPr>
      <w:r w:rsidRPr="00AF4D9F">
        <w:rPr>
          <w:rFonts w:eastAsia="Times New Roman"/>
          <w:szCs w:val="24"/>
          <w:lang w:eastAsia="es-CO"/>
        </w:rPr>
        <w:t> </w:t>
      </w:r>
    </w:p>
    <w:p w:rsidR="00A30963" w:rsidRPr="00AF4D9F" w:rsidRDefault="00A30963" w:rsidP="00A30963">
      <w:pPr>
        <w:adjustRightInd w:val="0"/>
        <w:spacing w:line="240" w:lineRule="auto"/>
        <w:jc w:val="center"/>
        <w:rPr>
          <w:rFonts w:eastAsia="Times New Roman"/>
          <w:szCs w:val="24"/>
          <w:lang w:eastAsia="es-CO"/>
        </w:rPr>
      </w:pPr>
      <w:r w:rsidRPr="00AF4D9F">
        <w:rPr>
          <w:rFonts w:eastAsia="Times New Roman"/>
          <w:szCs w:val="24"/>
          <w:lang w:eastAsia="es-CO"/>
        </w:rPr>
        <w:t> </w:t>
      </w:r>
    </w:p>
    <w:p w:rsidR="00A30963" w:rsidRPr="00AF4D9F" w:rsidRDefault="00A30963" w:rsidP="00A30963">
      <w:pPr>
        <w:adjustRightInd w:val="0"/>
        <w:spacing w:line="240" w:lineRule="auto"/>
        <w:jc w:val="center"/>
        <w:rPr>
          <w:rFonts w:eastAsia="Times New Roman"/>
          <w:szCs w:val="24"/>
          <w:lang w:eastAsia="es-CO"/>
        </w:rPr>
      </w:pPr>
      <w:r w:rsidRPr="00AF4D9F">
        <w:rPr>
          <w:rFonts w:eastAsia="Times New Roman"/>
          <w:b/>
          <w:szCs w:val="24"/>
          <w:lang w:eastAsia="es-CO"/>
        </w:rPr>
        <w:t>DECRETA:</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b/>
          <w:szCs w:val="24"/>
          <w:lang w:eastAsia="es-CO"/>
        </w:rPr>
        <w:t> </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b/>
          <w:szCs w:val="24"/>
          <w:lang w:eastAsia="es-CO"/>
        </w:rPr>
        <w:t>Artículo 1°.</w:t>
      </w:r>
      <w:r w:rsidRPr="00AF4D9F">
        <w:rPr>
          <w:rFonts w:eastAsia="Times New Roman"/>
          <w:szCs w:val="24"/>
          <w:lang w:eastAsia="es-CO"/>
        </w:rPr>
        <w:t xml:space="preserve"> </w:t>
      </w:r>
      <w:r w:rsidRPr="00AF4D9F">
        <w:rPr>
          <w:rFonts w:eastAsia="Times New Roman"/>
          <w:i/>
          <w:iCs/>
          <w:szCs w:val="24"/>
          <w:lang w:eastAsia="es-CO"/>
        </w:rPr>
        <w:t xml:space="preserve">Ingresos para efectos de establecer la residencia tributaria de las personas naturales. </w:t>
      </w:r>
      <w:r w:rsidRPr="00AF4D9F">
        <w:rPr>
          <w:rFonts w:eastAsia="Times New Roman"/>
          <w:szCs w:val="24"/>
          <w:lang w:eastAsia="es-CO"/>
        </w:rPr>
        <w:t xml:space="preserve">Para efectos de calcular el porcentaje de ingresos de fuente nacional consagrado en el literal b) del numeral 3 del </w:t>
      </w:r>
      <w:hyperlink r:id="rId13" w:tooltip="Estatuto Tributario CETA" w:history="1">
        <w:r w:rsidRPr="00AF4D9F">
          <w:rPr>
            <w:rFonts w:eastAsia="Times New Roman"/>
            <w:szCs w:val="24"/>
            <w:lang w:eastAsia="es-CO"/>
          </w:rPr>
          <w:t>artículo 10</w:t>
        </w:r>
      </w:hyperlink>
      <w:r w:rsidRPr="00AF4D9F">
        <w:rPr>
          <w:rFonts w:eastAsia="Times New Roman"/>
          <w:szCs w:val="24"/>
          <w:lang w:eastAsia="es-CO"/>
        </w:rPr>
        <w:t xml:space="preserve"> del Estatuto Tributario, se dividirá la totalidad de los ingresos ordinarios y extraordinarios de fuente nacional que sean o no constitutivos </w:t>
      </w:r>
      <w:r w:rsidRPr="00AF4D9F">
        <w:rPr>
          <w:rFonts w:eastAsia="Times New Roman"/>
          <w:szCs w:val="24"/>
          <w:lang w:eastAsia="es-CO"/>
        </w:rPr>
        <w:lastRenderedPageBreak/>
        <w:t>de renta o ganancia ocasional realizados durante el año o período gravable respecto del cual se está determinando la residencia, por la totalidad de los ingresos ordinarios y extraordinarios de fuente nacional y extranjera que sean o no constitutivos de renta o ganancia ocasional realizados durante el año o período gravable respecto del cual se está determinando la residencia.</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b/>
          <w:szCs w:val="24"/>
          <w:lang w:eastAsia="es-CO"/>
        </w:rPr>
        <w:t>Artículo 2°.</w:t>
      </w:r>
      <w:r w:rsidRPr="00AF4D9F">
        <w:rPr>
          <w:rFonts w:eastAsia="Times New Roman"/>
          <w:szCs w:val="24"/>
          <w:lang w:eastAsia="es-CO"/>
        </w:rPr>
        <w:t xml:space="preserve"> </w:t>
      </w:r>
      <w:r w:rsidRPr="00AF4D9F">
        <w:rPr>
          <w:rFonts w:eastAsia="Times New Roman"/>
          <w:i/>
          <w:iCs/>
          <w:szCs w:val="24"/>
          <w:lang w:eastAsia="es-CO"/>
        </w:rPr>
        <w:t xml:space="preserve">Administración de bienes en el país para efectos de establecer la residencia tributaria de las personas naturales. </w:t>
      </w:r>
      <w:r w:rsidRPr="00AF4D9F">
        <w:rPr>
          <w:rFonts w:eastAsia="Times New Roman"/>
          <w:szCs w:val="24"/>
          <w:lang w:eastAsia="es-CO"/>
        </w:rPr>
        <w:t xml:space="preserve">Para efectos del literal c) del numeral 3 del </w:t>
      </w:r>
      <w:hyperlink r:id="rId14" w:tooltip="Estatuto Tributario CETA" w:history="1">
        <w:r w:rsidRPr="00AF4D9F">
          <w:rPr>
            <w:rFonts w:eastAsia="Times New Roman"/>
            <w:szCs w:val="24"/>
            <w:lang w:eastAsia="es-CO"/>
          </w:rPr>
          <w:t>artículo 10</w:t>
        </w:r>
      </w:hyperlink>
      <w:r w:rsidRPr="00AF4D9F">
        <w:rPr>
          <w:rFonts w:eastAsia="Times New Roman"/>
          <w:szCs w:val="24"/>
          <w:lang w:eastAsia="es-CO"/>
        </w:rPr>
        <w:t xml:space="preserve"> del Estatuto Tributario, se entiende por administración de bienes, la gestión o conservación, en cualquier forma, de dichos bienes, ya sea que dicha gestión o conservación se lleve a cabo directamente o por intermedio de otra u otras personas naturales o jurídicas, entidades o esquemas de naturaleza no societaria, y así estas actúen en nombre propio y por cuenta de la persona cuya residencia es objeto de análisis, o en representación de esta persona.</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xml:space="preserve">Para efectos del literal c) del numeral 3 del </w:t>
      </w:r>
      <w:hyperlink r:id="rId15" w:tooltip="Estatuto Tributario CETA" w:history="1">
        <w:r w:rsidRPr="00AF4D9F">
          <w:rPr>
            <w:rFonts w:eastAsia="Times New Roman"/>
            <w:szCs w:val="24"/>
            <w:lang w:eastAsia="es-CO"/>
          </w:rPr>
          <w:t>artículo 10</w:t>
        </w:r>
      </w:hyperlink>
      <w:r w:rsidRPr="00AF4D9F">
        <w:rPr>
          <w:rFonts w:eastAsia="Times New Roman"/>
          <w:szCs w:val="24"/>
          <w:lang w:eastAsia="es-CO"/>
        </w:rPr>
        <w:t xml:space="preserve"> del Estatuto Tributario, se entenderá que los bienes son administrados en Colombia cuando las actividades diarias que implican su gestión o conservación, en cualquier forma, se llevan a cabo en el territorio nacional.</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Para efectos del mismo literal c), el porcentaje de bienes administrados en el país se debe calcular sobre la base de la totalidad de bienes poseídos por la persona natural dentro y fuera del territorio nacional, teniendo en cuenta el valor patrimonial de dichos bienes a 31 de diciembre del año o período gravable objeto de determinación de residencia.</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b/>
          <w:szCs w:val="24"/>
          <w:lang w:eastAsia="es-CO"/>
        </w:rPr>
        <w:t>Artículo 3°.</w:t>
      </w:r>
      <w:r w:rsidRPr="00AF4D9F">
        <w:rPr>
          <w:rFonts w:eastAsia="Times New Roman"/>
          <w:szCs w:val="24"/>
          <w:lang w:eastAsia="es-CO"/>
        </w:rPr>
        <w:t xml:space="preserve"> </w:t>
      </w:r>
      <w:r w:rsidRPr="00AF4D9F">
        <w:rPr>
          <w:rFonts w:eastAsia="Times New Roman"/>
          <w:i/>
          <w:iCs/>
          <w:szCs w:val="24"/>
          <w:lang w:eastAsia="es-CO"/>
        </w:rPr>
        <w:t xml:space="preserve">Activos poseídos en el país para efectos de establecer la residencia tributaria de las personas naturales. </w:t>
      </w:r>
      <w:r w:rsidRPr="00AF4D9F">
        <w:rPr>
          <w:rFonts w:eastAsia="Times New Roman"/>
          <w:szCs w:val="24"/>
          <w:lang w:eastAsia="es-CO"/>
        </w:rPr>
        <w:t xml:space="preserve">Para efectos de calcular el porcentaje consagrado en el literal d) del numeral 3 del </w:t>
      </w:r>
      <w:hyperlink r:id="rId16" w:tooltip="Estatuto Tributario CETA" w:history="1">
        <w:r w:rsidRPr="00AF4D9F">
          <w:rPr>
            <w:rFonts w:eastAsia="Times New Roman"/>
            <w:szCs w:val="24"/>
            <w:lang w:eastAsia="es-CO"/>
          </w:rPr>
          <w:t>artículo 10</w:t>
        </w:r>
      </w:hyperlink>
      <w:r w:rsidRPr="00AF4D9F">
        <w:rPr>
          <w:rFonts w:eastAsia="Times New Roman"/>
          <w:szCs w:val="24"/>
          <w:lang w:eastAsia="es-CO"/>
        </w:rPr>
        <w:t xml:space="preserve"> del Estatuto Tributario, se dividirá el valor patrimonial de los activos poseídos por la persona natural en el territorio nacional a 31 de diciembre del año o período gravable objeto de determinación de la residencia, por el valor patrimonial de la totalidad de los activos poseídos por la persona natural dentro y fuera del territorio nacional a la misma fecha.</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b/>
          <w:szCs w:val="24"/>
          <w:lang w:eastAsia="es-CO"/>
        </w:rPr>
        <w:t xml:space="preserve">Artículo 4°. </w:t>
      </w:r>
      <w:r w:rsidRPr="00AF4D9F">
        <w:rPr>
          <w:rFonts w:eastAsia="Times New Roman"/>
          <w:i/>
          <w:iCs/>
          <w:szCs w:val="24"/>
          <w:lang w:eastAsia="es-CO"/>
        </w:rPr>
        <w:t xml:space="preserve">Valor patrimonial de los bienes y activos. </w:t>
      </w:r>
      <w:r w:rsidRPr="00AF4D9F">
        <w:rPr>
          <w:rFonts w:eastAsia="Times New Roman"/>
          <w:szCs w:val="24"/>
          <w:lang w:eastAsia="es-CO"/>
        </w:rPr>
        <w:t>El valor patrimonial de los bienes o activos de una persona natural, al que hace referencia el presente Decreto, será el valor determinado de conformidad con lo establecido en el Capítulo I del Título II del Libro Primero del Estatuto Tributario, o las normas que lo modifiquen, adicionen o sustituyan. Si al aplicar dichas normas no es posible determinar el valor patrimonial de un bien o activo, se tendrá como tal el valor de adquisición del mismo. En ambos casos, los valores deberán ser ajustados anualmente en el porcentaje señalado en el artículo 868 del Estatuto Tributario, o la norma que lo modifique, adicione o sustituya.</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b/>
          <w:szCs w:val="24"/>
          <w:lang w:eastAsia="es-CO"/>
        </w:rPr>
        <w:t xml:space="preserve">Artículo 5°. </w:t>
      </w:r>
      <w:r w:rsidRPr="00AF4D9F">
        <w:rPr>
          <w:rFonts w:eastAsia="Times New Roman"/>
          <w:i/>
          <w:iCs/>
          <w:szCs w:val="24"/>
          <w:lang w:eastAsia="es-CO"/>
        </w:rPr>
        <w:t xml:space="preserve">Prueba idónea. </w:t>
      </w:r>
      <w:r w:rsidRPr="00AF4D9F">
        <w:rPr>
          <w:rFonts w:eastAsia="Times New Roman"/>
          <w:szCs w:val="24"/>
          <w:lang w:eastAsia="es-CO"/>
        </w:rPr>
        <w:t xml:space="preserve">Sin perjuicio de lo consagrado en el Título VI del Estatuto Tributario, o las normas que lo modifiquen, adicionen o sustituyan, para efectos de determinar la residencia de una persona natural en virtud de los literales b), c) y d) del numeral 3 del </w:t>
      </w:r>
      <w:hyperlink r:id="rId17" w:tooltip="Estatuto Tributario CETA" w:history="1">
        <w:r w:rsidRPr="00AF4D9F">
          <w:rPr>
            <w:rFonts w:eastAsia="Times New Roman"/>
            <w:szCs w:val="24"/>
            <w:lang w:eastAsia="es-CO"/>
          </w:rPr>
          <w:t>artículo 10</w:t>
        </w:r>
      </w:hyperlink>
      <w:r w:rsidRPr="00AF4D9F">
        <w:rPr>
          <w:rFonts w:eastAsia="Times New Roman"/>
          <w:szCs w:val="24"/>
          <w:lang w:eastAsia="es-CO"/>
        </w:rPr>
        <w:t xml:space="preserve"> del Estatuto Tributario, constituirán prueba idónea las certificaciones de los contadores o revisores fiscales presentadas de conformidad con las normas legales vigentes.</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b/>
          <w:szCs w:val="24"/>
          <w:lang w:eastAsia="es-CO"/>
        </w:rPr>
        <w:t xml:space="preserve">Artículo 6°. </w:t>
      </w:r>
      <w:r w:rsidRPr="00AF4D9F">
        <w:rPr>
          <w:rFonts w:eastAsia="Times New Roman"/>
          <w:i/>
          <w:iCs/>
          <w:szCs w:val="24"/>
          <w:lang w:eastAsia="es-CO"/>
        </w:rPr>
        <w:t xml:space="preserve">Patrimonio bruto de las personas naturales extranjeras residentes en Colombia y las sucesiones ilíquidas de causantes extranjeros que eran residentes en Colombia. </w:t>
      </w:r>
      <w:r w:rsidRPr="00AF4D9F">
        <w:rPr>
          <w:rFonts w:eastAsia="Times New Roman"/>
          <w:szCs w:val="24"/>
          <w:lang w:eastAsia="es-CO"/>
        </w:rPr>
        <w:t>A partir de la entrada en vigencia de la Ley 1607 de 2012, el patrimonio bruto de las personas naturales extranjeras que sean residentes en Colombia y de las sucesiones ilíquidas de causantes extranjeros residentes en Colombia incluirá los bienes poseídos en el exterior.</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b/>
          <w:szCs w:val="24"/>
          <w:lang w:eastAsia="es-CO"/>
        </w:rPr>
        <w:t xml:space="preserve">Artículo 7°. </w:t>
      </w:r>
      <w:r w:rsidRPr="00AF4D9F">
        <w:rPr>
          <w:rFonts w:eastAsia="Times New Roman"/>
          <w:i/>
          <w:iCs/>
          <w:szCs w:val="24"/>
          <w:lang w:eastAsia="es-CO"/>
        </w:rPr>
        <w:t xml:space="preserve">Renta por comparación patrimonial de personas naturales y sociedades o entidades que fueron no residentes o extranjeros el año o período gravable </w:t>
      </w:r>
      <w:r w:rsidRPr="00AF4D9F">
        <w:rPr>
          <w:rFonts w:eastAsia="Times New Roman"/>
          <w:i/>
          <w:iCs/>
          <w:szCs w:val="24"/>
          <w:lang w:eastAsia="es-CO"/>
        </w:rPr>
        <w:lastRenderedPageBreak/>
        <w:t xml:space="preserve">inmediatamente anterior. </w:t>
      </w:r>
      <w:r w:rsidRPr="00AF4D9F">
        <w:rPr>
          <w:rFonts w:eastAsia="Times New Roman"/>
          <w:szCs w:val="24"/>
          <w:lang w:eastAsia="es-CO"/>
        </w:rPr>
        <w:t xml:space="preserve">Para efectos de lo establecido en los artículos </w:t>
      </w:r>
      <w:hyperlink r:id="rId18" w:tooltip="Estatuto Tributario CETA" w:history="1">
        <w:r w:rsidRPr="00AF4D9F">
          <w:rPr>
            <w:rFonts w:eastAsia="Times New Roman"/>
            <w:szCs w:val="24"/>
            <w:lang w:eastAsia="es-CO"/>
          </w:rPr>
          <w:t>236</w:t>
        </w:r>
      </w:hyperlink>
      <w:r w:rsidRPr="00AF4D9F">
        <w:rPr>
          <w:rFonts w:eastAsia="Times New Roman"/>
          <w:szCs w:val="24"/>
          <w:lang w:eastAsia="es-CO"/>
        </w:rPr>
        <w:t xml:space="preserve"> y </w:t>
      </w:r>
      <w:hyperlink r:id="rId19" w:tooltip="Estatuto Tributario CETA" w:history="1">
        <w:r w:rsidRPr="00AF4D9F">
          <w:rPr>
            <w:rFonts w:eastAsia="Times New Roman"/>
            <w:szCs w:val="24"/>
            <w:lang w:eastAsia="es-CO"/>
          </w:rPr>
          <w:t>237</w:t>
        </w:r>
      </w:hyperlink>
      <w:r w:rsidRPr="00AF4D9F">
        <w:rPr>
          <w:rFonts w:eastAsia="Times New Roman"/>
          <w:szCs w:val="24"/>
          <w:lang w:eastAsia="es-CO"/>
        </w:rPr>
        <w:t xml:space="preserve"> del Estatuto Tributario, el aumento patrimonial que experimentan las personas naturales residentes en el país y las sociedades o entidades nacionales, que para efectos del año o período gravable inmediatamente anterior hubieran sido respectivamente no residentes o extranjeras, y que obedezca exclusivamente a dicho cambio, se entenderá como un aumento por causas justificativas.</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b/>
          <w:szCs w:val="24"/>
          <w:lang w:eastAsia="es-CO"/>
        </w:rPr>
        <w:t xml:space="preserve">Artículo 8°. </w:t>
      </w:r>
      <w:r w:rsidRPr="00AF4D9F">
        <w:rPr>
          <w:rFonts w:eastAsia="Times New Roman"/>
          <w:i/>
          <w:iCs/>
          <w:szCs w:val="24"/>
          <w:lang w:eastAsia="es-CO"/>
        </w:rPr>
        <w:t xml:space="preserve">Sociedades o entidades consideradas nacionales por tener su sede efectiva de administración en el territorio colombiano. </w:t>
      </w:r>
      <w:r w:rsidRPr="00AF4D9F">
        <w:rPr>
          <w:rFonts w:eastAsia="Times New Roman"/>
          <w:szCs w:val="24"/>
          <w:lang w:eastAsia="es-CO"/>
        </w:rPr>
        <w:t xml:space="preserve">Sin perjuicio de la aplicación de las normas legales y antecedentes jurisprudenciales relativos a abuso en materia tributaria, las sociedades o entidades que sean consideradas nacionales por tener su sede efectiva de administración en el territorio colombiano, no serán consideradas extranjeras, para todos los efectos fiscales, desde el momento en que, de conformidad con lo establecido en el </w:t>
      </w:r>
      <w:hyperlink r:id="rId20" w:tooltip="Estatuto Tributario CETA" w:history="1">
        <w:r w:rsidRPr="00AF4D9F">
          <w:rPr>
            <w:rFonts w:eastAsia="Times New Roman"/>
            <w:szCs w:val="24"/>
            <w:lang w:eastAsia="es-CO"/>
          </w:rPr>
          <w:t>artículo 12-1</w:t>
        </w:r>
      </w:hyperlink>
      <w:r w:rsidRPr="00AF4D9F">
        <w:rPr>
          <w:rFonts w:eastAsia="Times New Roman"/>
          <w:szCs w:val="24"/>
          <w:lang w:eastAsia="es-CO"/>
        </w:rPr>
        <w:t xml:space="preserve"> del Estatuto Tributario, tengan su sede efectiva de administración en el territorio nacional.</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A las sociedades y entidades a las que se refiere este artículo se les aplicará el régimen tributario consagrado para las sociedades limitadas o anónimas, según el tipo societario colombiano que más se asimile a la sociedad o entidad en cuestión, debiendo así cumplir con todas las obligaciones fiscales establecidas para ellas, desde el momento de la configuración de su sede efectiva de administración en el territorio nacional.</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b/>
          <w:szCs w:val="24"/>
          <w:lang w:eastAsia="es-CO"/>
        </w:rPr>
        <w:t>Parágrafo.</w:t>
      </w:r>
      <w:r w:rsidRPr="00AF4D9F">
        <w:rPr>
          <w:rFonts w:eastAsia="Times New Roman"/>
          <w:szCs w:val="24"/>
          <w:lang w:eastAsia="es-CO"/>
        </w:rPr>
        <w:t xml:space="preserve"> La determinación de la sede efectiva de administración a la que se refiere el tercer parágrafo del </w:t>
      </w:r>
      <w:hyperlink r:id="rId21" w:tooltip="Estatuto Tributario CETA" w:history="1">
        <w:r w:rsidRPr="00AF4D9F">
          <w:rPr>
            <w:rFonts w:eastAsia="Times New Roman"/>
            <w:szCs w:val="24"/>
            <w:lang w:eastAsia="es-CO"/>
          </w:rPr>
          <w:t>artículo 12-1</w:t>
        </w:r>
      </w:hyperlink>
      <w:r w:rsidRPr="00AF4D9F">
        <w:rPr>
          <w:rFonts w:eastAsia="Times New Roman"/>
          <w:szCs w:val="24"/>
          <w:lang w:eastAsia="es-CO"/>
        </w:rPr>
        <w:t xml:space="preserve"> del Estatuto Tributario será declarativa y no constitutiva.</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b/>
          <w:szCs w:val="24"/>
          <w:lang w:eastAsia="es-CO"/>
        </w:rPr>
        <w:t>Parágrafo transitorio.</w:t>
      </w:r>
      <w:r w:rsidRPr="00AF4D9F">
        <w:rPr>
          <w:rFonts w:eastAsia="Times New Roman"/>
          <w:szCs w:val="24"/>
          <w:lang w:eastAsia="es-CO"/>
        </w:rPr>
        <w:t xml:space="preserve"> Sin perjuicio del cumplimento de las obligaciones sustanciales contenidas en el Estatuto Tributario, las sociedades y entidades cuya sede efectiva de administración se encuentre en el territorio colombiano y que no hayan sido constituidas en Colombia y/o no tengan su domicilio principal en el territorio colombiano deberán cumplir con todas las obligaciones formales inherentes a su calidad de sociedades nacionales con respecto al año gravable 2013 únicamente a partir de su inscripción en el Registro Único Tributario (RUT) como sociedades o entidades nacionales.</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b/>
          <w:szCs w:val="24"/>
          <w:lang w:eastAsia="es-CO"/>
        </w:rPr>
        <w:t>Artículo 9°.</w:t>
      </w:r>
      <w:r w:rsidRPr="00AF4D9F">
        <w:rPr>
          <w:rFonts w:eastAsia="Times New Roman"/>
          <w:szCs w:val="24"/>
          <w:lang w:eastAsia="es-CO"/>
        </w:rPr>
        <w:t xml:space="preserve"> </w:t>
      </w:r>
      <w:r w:rsidRPr="00AF4D9F">
        <w:rPr>
          <w:rFonts w:eastAsia="Times New Roman"/>
          <w:i/>
          <w:iCs/>
          <w:szCs w:val="24"/>
          <w:lang w:eastAsia="es-CO"/>
        </w:rPr>
        <w:t xml:space="preserve">Contabilidad de las sociedades o entidades consideradas nacionales por tener su sede efectiva de administración en el territorio colombiano. </w:t>
      </w:r>
      <w:r w:rsidRPr="00AF4D9F">
        <w:rPr>
          <w:rFonts w:eastAsia="Times New Roman"/>
          <w:szCs w:val="24"/>
          <w:lang w:eastAsia="es-CO"/>
        </w:rPr>
        <w:t>Las sociedades y entidades cuya sede efectiva de administración se encuentre en el territorio colombiano y que no hayan sido constituidas en Colombia y/o que no tengan su domicilio principal en el territorio colombiano deberán, para efectos exclusivamente fiscales, llevar contabilidad cumpliendo con los mismos requisitos aplicables a los obligados a llevar contabilidad en Colombia.</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xml:space="preserve">Para efectos de lo dispuesto en el </w:t>
      </w:r>
      <w:hyperlink r:id="rId22" w:tooltip="Estatuto Tributario CETA" w:history="1">
        <w:r w:rsidRPr="00AF4D9F">
          <w:rPr>
            <w:rFonts w:eastAsia="Times New Roman"/>
            <w:szCs w:val="24"/>
            <w:lang w:eastAsia="es-CO"/>
          </w:rPr>
          <w:t>artículo 774</w:t>
        </w:r>
      </w:hyperlink>
      <w:r w:rsidRPr="00AF4D9F">
        <w:rPr>
          <w:rFonts w:eastAsia="Times New Roman"/>
          <w:szCs w:val="24"/>
          <w:lang w:eastAsia="es-CO"/>
        </w:rPr>
        <w:t xml:space="preserve"> del Estatuto Tributario, los libros de contabilidad serán prueba suficiente cuando estos cumplan con los requisitos contenidos en dicho artículo o la norma que lo modifique, adicione o sustituya.</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b/>
          <w:szCs w:val="24"/>
          <w:lang w:eastAsia="es-CO"/>
        </w:rPr>
        <w:t>Artículo 10.</w:t>
      </w:r>
      <w:r w:rsidRPr="00AF4D9F">
        <w:rPr>
          <w:rFonts w:eastAsia="Times New Roman"/>
          <w:szCs w:val="24"/>
          <w:lang w:eastAsia="es-CO"/>
        </w:rPr>
        <w:t xml:space="preserve"> </w:t>
      </w:r>
      <w:r w:rsidRPr="00AF4D9F">
        <w:rPr>
          <w:rFonts w:eastAsia="Times New Roman"/>
          <w:i/>
          <w:iCs/>
          <w:szCs w:val="24"/>
          <w:lang w:eastAsia="es-CO"/>
        </w:rPr>
        <w:t xml:space="preserve">Reversión del impuesto diferido crédito del método de participación. </w:t>
      </w:r>
      <w:r w:rsidRPr="00AF4D9F">
        <w:rPr>
          <w:rFonts w:eastAsia="Times New Roman"/>
          <w:szCs w:val="24"/>
          <w:lang w:eastAsia="es-CO"/>
        </w:rPr>
        <w:t xml:space="preserve">Para efectos de la determinación de los dividendos o participaciones no gravados a la que se refiere el </w:t>
      </w:r>
      <w:hyperlink r:id="rId23" w:tooltip="Estatuto Tributario CETA" w:history="1">
        <w:r w:rsidRPr="00AF4D9F">
          <w:rPr>
            <w:rFonts w:eastAsia="Times New Roman"/>
            <w:szCs w:val="24"/>
            <w:lang w:eastAsia="es-CO"/>
          </w:rPr>
          <w:t>artículo 49</w:t>
        </w:r>
      </w:hyperlink>
      <w:r w:rsidRPr="00AF4D9F">
        <w:rPr>
          <w:rFonts w:eastAsia="Times New Roman"/>
          <w:szCs w:val="24"/>
          <w:lang w:eastAsia="es-CO"/>
        </w:rPr>
        <w:t xml:space="preserve"> del Estatuto Tributario, el ingreso contable producto de la reversión del impuesto diferido crédito del método de participación para utilidades que estuvieron gravadas en Colombia, que se origina en la sociedad controlante cuando sus sociedades o entidades subordinadas, adquieren la nacionalidad colombiana por tener su sede efectiva de administración en el territorio colombiano, se sumará a los dividendos o participaciones de otras sociedades nacionales que tengan el carácter no gravado a los que hace referencia el numeral segundo de dicho artículo.</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w:t>
      </w:r>
    </w:p>
    <w:p w:rsidR="00451E42" w:rsidRDefault="00A30963" w:rsidP="00A30963">
      <w:pPr>
        <w:adjustRightInd w:val="0"/>
        <w:spacing w:line="240" w:lineRule="auto"/>
        <w:rPr>
          <w:rFonts w:eastAsia="Times New Roman"/>
          <w:szCs w:val="24"/>
          <w:lang w:eastAsia="es-CO"/>
        </w:rPr>
      </w:pPr>
      <w:r w:rsidRPr="00AF4D9F">
        <w:rPr>
          <w:rFonts w:eastAsia="Times New Roman"/>
          <w:b/>
          <w:szCs w:val="24"/>
          <w:lang w:eastAsia="es-CO"/>
        </w:rPr>
        <w:t>Artículo 11.</w:t>
      </w:r>
      <w:r w:rsidRPr="00AF4D9F">
        <w:rPr>
          <w:rFonts w:eastAsia="Times New Roman"/>
          <w:szCs w:val="24"/>
          <w:lang w:eastAsia="es-CO"/>
        </w:rPr>
        <w:t xml:space="preserve"> </w:t>
      </w:r>
      <w:r w:rsidR="00451E42">
        <w:rPr>
          <w:rFonts w:eastAsia="Times New Roman"/>
          <w:szCs w:val="24"/>
          <w:lang w:eastAsia="es-CO"/>
        </w:rPr>
        <w:t xml:space="preserve">Derogado por el artículo 10 del Decreto 2620 de diciembre 17 de 2014. </w:t>
      </w:r>
    </w:p>
    <w:p w:rsidR="00A30963" w:rsidRPr="00AF4D9F" w:rsidRDefault="00A30963" w:rsidP="00A30963">
      <w:pPr>
        <w:adjustRightInd w:val="0"/>
        <w:spacing w:line="240" w:lineRule="auto"/>
        <w:rPr>
          <w:rFonts w:eastAsia="Times New Roman"/>
          <w:szCs w:val="24"/>
          <w:lang w:eastAsia="es-CO"/>
        </w:rPr>
      </w:pPr>
      <w:bookmarkStart w:id="0" w:name="_GoBack"/>
      <w:bookmarkEnd w:id="0"/>
      <w:r w:rsidRPr="00AF4D9F">
        <w:rPr>
          <w:rFonts w:eastAsia="Times New Roman"/>
          <w:szCs w:val="24"/>
          <w:lang w:eastAsia="es-CO"/>
        </w:rPr>
        <w:t> </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b/>
          <w:szCs w:val="24"/>
          <w:lang w:eastAsia="es-CO"/>
        </w:rPr>
        <w:lastRenderedPageBreak/>
        <w:t>Artículo 12.</w:t>
      </w:r>
      <w:r w:rsidRPr="00AF4D9F">
        <w:rPr>
          <w:rFonts w:eastAsia="Times New Roman"/>
          <w:szCs w:val="24"/>
          <w:lang w:eastAsia="es-CO"/>
        </w:rPr>
        <w:t xml:space="preserve"> </w:t>
      </w:r>
      <w:r w:rsidRPr="00AF4D9F">
        <w:rPr>
          <w:rFonts w:eastAsia="Times New Roman"/>
          <w:i/>
          <w:iCs/>
          <w:szCs w:val="24"/>
          <w:lang w:eastAsia="es-CO"/>
        </w:rPr>
        <w:t xml:space="preserve">Vigencia. </w:t>
      </w:r>
      <w:r w:rsidRPr="00AF4D9F">
        <w:rPr>
          <w:rFonts w:eastAsia="Times New Roman"/>
          <w:szCs w:val="24"/>
          <w:lang w:eastAsia="es-CO"/>
        </w:rPr>
        <w:t>El presente decreto rige a partir de la fecha de su publicación.</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 </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b/>
          <w:szCs w:val="24"/>
          <w:lang w:eastAsia="es-CO"/>
        </w:rPr>
        <w:t>Publíquese y cúmplase.</w:t>
      </w:r>
    </w:p>
    <w:p w:rsidR="00A30963" w:rsidRPr="00AF4D9F" w:rsidRDefault="00A30963" w:rsidP="00A30963">
      <w:pPr>
        <w:adjustRightInd w:val="0"/>
        <w:spacing w:line="240" w:lineRule="auto"/>
        <w:rPr>
          <w:rFonts w:eastAsia="Times New Roman"/>
          <w:szCs w:val="24"/>
          <w:lang w:eastAsia="es-CO"/>
        </w:rPr>
      </w:pPr>
      <w:r w:rsidRPr="00AF4D9F">
        <w:rPr>
          <w:rFonts w:eastAsia="Times New Roman"/>
          <w:szCs w:val="24"/>
          <w:lang w:eastAsia="es-CO"/>
        </w:rPr>
        <w:t>Dado en Bogotá, D. C., a 27 de diciembre de 2013.</w:t>
      </w:r>
    </w:p>
    <w:p w:rsidR="00A30963" w:rsidRPr="00AF4D9F" w:rsidRDefault="00AF4D9F" w:rsidP="00AF4D9F">
      <w:pPr>
        <w:adjustRightInd w:val="0"/>
        <w:spacing w:line="240" w:lineRule="auto"/>
        <w:rPr>
          <w:rFonts w:eastAsia="Times New Roman"/>
          <w:szCs w:val="24"/>
          <w:lang w:eastAsia="es-CO"/>
        </w:rPr>
      </w:pPr>
      <w:r>
        <w:rPr>
          <w:rFonts w:eastAsia="Times New Roman"/>
          <w:szCs w:val="24"/>
          <w:lang w:eastAsia="es-CO"/>
        </w:rPr>
        <w:t>_________________________________________________________________________</w:t>
      </w:r>
      <w:r w:rsidR="00A30963" w:rsidRPr="00AF4D9F">
        <w:rPr>
          <w:rFonts w:eastAsia="Times New Roman"/>
          <w:szCs w:val="24"/>
          <w:lang w:eastAsia="es-CO"/>
        </w:rPr>
        <w:t> </w:t>
      </w:r>
    </w:p>
    <w:p w:rsidR="00A30963" w:rsidRPr="00AF4D9F" w:rsidRDefault="00A30963" w:rsidP="00A30963">
      <w:pPr>
        <w:adjustRightInd w:val="0"/>
        <w:spacing w:line="240" w:lineRule="auto"/>
        <w:jc w:val="right"/>
        <w:rPr>
          <w:rFonts w:eastAsia="Times New Roman"/>
          <w:szCs w:val="24"/>
          <w:lang w:eastAsia="es-CO"/>
        </w:rPr>
      </w:pPr>
      <w:r w:rsidRPr="00AF4D9F">
        <w:rPr>
          <w:rFonts w:eastAsia="Times New Roman"/>
          <w:szCs w:val="24"/>
          <w:lang w:eastAsia="es-CO"/>
        </w:rPr>
        <w:t> </w:t>
      </w:r>
    </w:p>
    <w:p w:rsidR="00B51D80" w:rsidRPr="00AF4D9F" w:rsidRDefault="00B51D80">
      <w:pPr>
        <w:rPr>
          <w:szCs w:val="24"/>
        </w:rPr>
      </w:pPr>
    </w:p>
    <w:sectPr w:rsidR="00B51D80" w:rsidRPr="00AF4D9F"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963"/>
    <w:rsid w:val="00451E42"/>
    <w:rsid w:val="00A067C7"/>
    <w:rsid w:val="00A30963"/>
    <w:rsid w:val="00AF4D9F"/>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32" TargetMode="External"/><Relationship Id="rId13" Type="http://schemas.openxmlformats.org/officeDocument/2006/relationships/hyperlink" Target="http://www.ceta.org.co/html/vista_de_un_articulo.asp?Norma=32" TargetMode="External"/><Relationship Id="rId18" Type="http://schemas.openxmlformats.org/officeDocument/2006/relationships/hyperlink" Target="http://www.ceta.org.co/html/vista_de_un_articulo.asp?Norma=306" TargetMode="External"/><Relationship Id="rId3" Type="http://schemas.openxmlformats.org/officeDocument/2006/relationships/settings" Target="settings.xml"/><Relationship Id="rId21" Type="http://schemas.openxmlformats.org/officeDocument/2006/relationships/hyperlink" Target="http://www.ceta.org.co/html/vista_de_un_articulo.asp?Norma=29935" TargetMode="External"/><Relationship Id="rId7" Type="http://schemas.openxmlformats.org/officeDocument/2006/relationships/hyperlink" Target="http://www.ceta.org.co/html/vista_de_un_articulo.asp?Norma=32" TargetMode="External"/><Relationship Id="rId12" Type="http://schemas.openxmlformats.org/officeDocument/2006/relationships/hyperlink" Target="http://www.ceta.org.co/html/vista_de_un_articulo.asp?Norma=29935" TargetMode="External"/><Relationship Id="rId17" Type="http://schemas.openxmlformats.org/officeDocument/2006/relationships/hyperlink" Target="http://www.ceta.org.co/html/vista_de_un_articulo.asp?Norma=32"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ceta.org.co/html/vista_de_un_articulo.asp?Norma=32" TargetMode="External"/><Relationship Id="rId20" Type="http://schemas.openxmlformats.org/officeDocument/2006/relationships/hyperlink" Target="http://www.ceta.org.co/html/vista_de_un_articulo.asp?Norma=29935" TargetMode="External"/><Relationship Id="rId1" Type="http://schemas.openxmlformats.org/officeDocument/2006/relationships/styles" Target="styles.xml"/><Relationship Id="rId6" Type="http://schemas.openxmlformats.org/officeDocument/2006/relationships/hyperlink" Target="http://www.ceta.org.co/html/vista_de_un_articulo.asp?Norma=29935" TargetMode="External"/><Relationship Id="rId11" Type="http://schemas.openxmlformats.org/officeDocument/2006/relationships/hyperlink" Target="http://www.ceta.org.co/html/vista_de_un_articulo.asp?Norma=306" TargetMode="External"/><Relationship Id="rId24" Type="http://schemas.openxmlformats.org/officeDocument/2006/relationships/fontTable" Target="fontTable.xml"/><Relationship Id="rId5" Type="http://schemas.openxmlformats.org/officeDocument/2006/relationships/hyperlink" Target="http://www.ceta.org.co/html/vista_de_un_articulo.asp?Norma=32" TargetMode="External"/><Relationship Id="rId15" Type="http://schemas.openxmlformats.org/officeDocument/2006/relationships/hyperlink" Target="http://www.ceta.org.co/html/vista_de_un_articulo.asp?Norma=32" TargetMode="External"/><Relationship Id="rId23" Type="http://schemas.openxmlformats.org/officeDocument/2006/relationships/hyperlink" Target="http://www.ceta.org.co/html/vista_de_un_articulo.asp?Norma=88" TargetMode="External"/><Relationship Id="rId10" Type="http://schemas.openxmlformats.org/officeDocument/2006/relationships/hyperlink" Target="http://www.ceta.org.co/html/vista_de_un_articulo.asp?Norma=31" TargetMode="External"/><Relationship Id="rId19" Type="http://schemas.openxmlformats.org/officeDocument/2006/relationships/hyperlink" Target="http://www.ceta.org.co/html/vista_de_un_articulo.asp?Norma=307"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32" TargetMode="External"/><Relationship Id="rId14" Type="http://schemas.openxmlformats.org/officeDocument/2006/relationships/hyperlink" Target="http://www.ceta.org.co/html/vista_de_un_articulo.asp?Norma=32" TargetMode="External"/><Relationship Id="rId22" Type="http://schemas.openxmlformats.org/officeDocument/2006/relationships/hyperlink" Target="http://www.ceta.org.co/html/vista_de_un_articulo.asp?Norma=96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1988</Words>
  <Characters>10936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2014-01-04T21:52:00Z</dcterms:created>
  <dcterms:modified xsi:type="dcterms:W3CDTF">2015-01-04T23:24:00Z</dcterms:modified>
</cp:coreProperties>
</file>